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E9C468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A1331" w:rsidRPr="00DA1331">
        <w:rPr>
          <w:bCs/>
          <w:noProof w:val="0"/>
          <w:sz w:val="24"/>
          <w:szCs w:val="24"/>
        </w:rPr>
        <w:t>2208180</w:t>
      </w:r>
    </w:p>
    <w:p w14:paraId="11776FA6" w14:textId="598198B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6FE1C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1A2F">
        <w:rPr>
          <w:rFonts w:cs="Arial"/>
          <w:b/>
          <w:bCs/>
          <w:sz w:val="24"/>
          <w:lang w:eastAsia="ja-JP"/>
        </w:rPr>
        <w:t>8</w:t>
      </w:r>
      <w:r>
        <w:rPr>
          <w:rFonts w:cs="Arial"/>
          <w:b/>
          <w:bCs/>
          <w:sz w:val="24"/>
          <w:lang w:eastAsia="ja-JP"/>
        </w:rPr>
        <w:t>.</w:t>
      </w:r>
      <w:r w:rsidR="00001A2F">
        <w:rPr>
          <w:rFonts w:cs="Arial"/>
          <w:b/>
          <w:bCs/>
          <w:sz w:val="24"/>
          <w:lang w:eastAsia="ja-JP"/>
        </w:rPr>
        <w:t>2</w:t>
      </w:r>
      <w:r>
        <w:rPr>
          <w:rFonts w:cs="Arial"/>
          <w:b/>
          <w:bCs/>
          <w:sz w:val="24"/>
          <w:lang w:eastAsia="ja-JP"/>
        </w:rPr>
        <w:t>.</w:t>
      </w:r>
      <w:r w:rsidR="00001A2F">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7847B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0647">
        <w:rPr>
          <w:rFonts w:ascii="Arial" w:hAnsi="Arial" w:cs="Arial"/>
          <w:b/>
          <w:bCs/>
          <w:sz w:val="24"/>
        </w:rPr>
        <w:t>Use case and area of focus for LPHAP study</w:t>
      </w:r>
    </w:p>
    <w:p w14:paraId="25F387E8" w14:textId="19499A8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25DDB">
        <w:rPr>
          <w:rFonts w:ascii="Arial" w:hAnsi="Arial" w:cs="Arial"/>
          <w:b/>
          <w:bCs/>
          <w:sz w:val="24"/>
        </w:rPr>
        <w:t>FS_NR_Pos_Enh2</w:t>
      </w:r>
      <w:r w:rsidRPr="00112F1A">
        <w:rPr>
          <w:rFonts w:ascii="Arial" w:hAnsi="Arial" w:cs="Arial"/>
          <w:b/>
          <w:bCs/>
          <w:sz w:val="24"/>
        </w:rPr>
        <w:t xml:space="preserve"> </w:t>
      </w:r>
      <w:r>
        <w:rPr>
          <w:rFonts w:ascii="Arial" w:hAnsi="Arial" w:cs="Arial"/>
          <w:b/>
          <w:bCs/>
          <w:sz w:val="24"/>
        </w:rPr>
        <w:t xml:space="preserve">- Release </w:t>
      </w:r>
      <w:r w:rsidR="00025DD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7177685" w:rsidR="009339CB" w:rsidRDefault="00D3117A" w:rsidP="009339CB">
      <w:r>
        <w:t xml:space="preserve">In this paper we briefly describe the use case of focus for Low Power High Accuracy Positioning (LPHAP) </w:t>
      </w:r>
      <w:r w:rsidR="00B92524">
        <w:t>and</w:t>
      </w:r>
      <w:r>
        <w:t xml:space="preserve"> suggest how to approach the study of LPHAP in RAN2.</w:t>
      </w:r>
    </w:p>
    <w:p w14:paraId="7D484B6E" w14:textId="16D074FC" w:rsidR="009339CB" w:rsidRPr="006E13D1" w:rsidRDefault="009339CB" w:rsidP="009339CB">
      <w:pPr>
        <w:pStyle w:val="Heading1"/>
      </w:pPr>
      <w:r w:rsidRPr="006E13D1">
        <w:t>2</w:t>
      </w:r>
      <w:r w:rsidRPr="006E13D1">
        <w:tab/>
      </w:r>
      <w:r w:rsidR="00184F5F">
        <w:t>Discussion</w:t>
      </w:r>
    </w:p>
    <w:p w14:paraId="4555C1A4" w14:textId="0CEE6107" w:rsidR="00D3117A" w:rsidRPr="006E13D1" w:rsidRDefault="00D3117A" w:rsidP="00D3117A">
      <w:pPr>
        <w:pStyle w:val="Heading2"/>
      </w:pPr>
      <w:r>
        <w:t>2</w:t>
      </w:r>
      <w:r w:rsidRPr="006E13D1">
        <w:t>.1</w:t>
      </w:r>
      <w:r w:rsidRPr="006E13D1">
        <w:tab/>
      </w:r>
      <w:r>
        <w:t>Background</w:t>
      </w:r>
    </w:p>
    <w:p w14:paraId="6473B0E2" w14:textId="72FB3F1F" w:rsidR="00D3117A" w:rsidRDefault="00B92524" w:rsidP="00D3117A">
      <w:r>
        <w:t>Release 18 work is starting in RAN WG2 in this meeting, RAN2#119-e. A new Rel-18 study item on ‘</w:t>
      </w:r>
      <w:r w:rsidRPr="00B92524">
        <w:t>expanded and improved NR positioning</w:t>
      </w:r>
      <w:r>
        <w:t>’</w:t>
      </w:r>
      <w:r w:rsidRPr="00B92524">
        <w:t xml:space="preserve"> </w:t>
      </w:r>
      <w:r>
        <w:t>was approved in RAN#94-e</w:t>
      </w:r>
      <w:r w:rsidR="000E6E99">
        <w:t xml:space="preserve"> [</w:t>
      </w:r>
      <w:r w:rsidR="000E6E99">
        <w:fldChar w:fldCharType="begin"/>
      </w:r>
      <w:r w:rsidR="000E6E99">
        <w:instrText xml:space="preserve"> REF _Ref110785157 \r \h </w:instrText>
      </w:r>
      <w:r w:rsidR="000E6E99">
        <w:fldChar w:fldCharType="separate"/>
      </w:r>
      <w:r w:rsidR="000E6E99">
        <w:t>1</w:t>
      </w:r>
      <w:r w:rsidR="000E6E99">
        <w:fldChar w:fldCharType="end"/>
      </w:r>
      <w:r w:rsidR="000E6E99">
        <w:t>]</w:t>
      </w:r>
      <w:r>
        <w:t>. Under the objective on ‘</w:t>
      </w:r>
      <w:r w:rsidRPr="00B92524">
        <w:t>Improved accuracy, integrity, and power efficiency</w:t>
      </w:r>
      <w:r>
        <w:t>’, one of study objectives is the following:</w:t>
      </w:r>
    </w:p>
    <w:tbl>
      <w:tblPr>
        <w:tblStyle w:val="TableGrid"/>
        <w:tblW w:w="0" w:type="auto"/>
        <w:tblLook w:val="04A0" w:firstRow="1" w:lastRow="0" w:firstColumn="1" w:lastColumn="0" w:noHBand="0" w:noVBand="1"/>
      </w:tblPr>
      <w:tblGrid>
        <w:gridCol w:w="9631"/>
      </w:tblGrid>
      <w:tr w:rsidR="00B92524" w14:paraId="1B757042" w14:textId="77777777" w:rsidTr="00B92524">
        <w:tc>
          <w:tcPr>
            <w:tcW w:w="9631" w:type="dxa"/>
          </w:tcPr>
          <w:p w14:paraId="03605877" w14:textId="77777777" w:rsidR="00B92524" w:rsidRDefault="00B92524" w:rsidP="00B92524">
            <w:pPr>
              <w:numPr>
                <w:ilvl w:val="1"/>
                <w:numId w:val="8"/>
              </w:numPr>
              <w:overflowPunct w:val="0"/>
              <w:autoSpaceDE w:val="0"/>
              <w:autoSpaceDN w:val="0"/>
              <w:adjustRightInd w:val="0"/>
              <w:spacing w:after="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222E8175" w14:textId="77777777" w:rsidR="00B92524" w:rsidRDefault="00B92524" w:rsidP="00B92524">
            <w:pPr>
              <w:numPr>
                <w:ilvl w:val="2"/>
                <w:numId w:val="8"/>
              </w:numPr>
              <w:overflowPunct w:val="0"/>
              <w:autoSpaceDE w:val="0"/>
              <w:autoSpaceDN w:val="0"/>
              <w:adjustRightInd w:val="0"/>
              <w:spacing w:after="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6627AF1A" w14:textId="0BF8EF41" w:rsidR="00B92524" w:rsidRPr="00A013B5" w:rsidRDefault="00B92524" w:rsidP="00D3117A">
            <w:pPr>
              <w:numPr>
                <w:ilvl w:val="2"/>
                <w:numId w:val="8"/>
              </w:numPr>
              <w:overflowPunct w:val="0"/>
              <w:autoSpaceDE w:val="0"/>
              <w:autoSpaceDN w:val="0"/>
              <w:adjustRightInd w:val="0"/>
              <w:spacing w:after="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tc>
      </w:tr>
    </w:tbl>
    <w:p w14:paraId="0B91CC06" w14:textId="67FF3C85" w:rsidR="00B92524" w:rsidRDefault="00B92524" w:rsidP="00D3117A"/>
    <w:p w14:paraId="45C1A517" w14:textId="10D2DC0B" w:rsidR="00A013B5" w:rsidRDefault="00A013B5" w:rsidP="00D3117A">
      <w:r>
        <w:t>The SA1 requirements on LPHAP can be found in TS 22.104 v18.3.0 [</w:t>
      </w:r>
      <w:r w:rsidR="00C167FA">
        <w:fldChar w:fldCharType="begin"/>
      </w:r>
      <w:r w:rsidR="00C167FA">
        <w:instrText xml:space="preserve"> REF _Ref110785200 \r \h </w:instrText>
      </w:r>
      <w:r w:rsidR="00C167FA">
        <w:fldChar w:fldCharType="separate"/>
      </w:r>
      <w:r w:rsidR="00C167FA">
        <w:t>2</w:t>
      </w:r>
      <w:r w:rsidR="00C167FA">
        <w:fldChar w:fldCharType="end"/>
      </w:r>
      <w:r>
        <w:t>].</w:t>
      </w:r>
    </w:p>
    <w:p w14:paraId="5982B445" w14:textId="7E562ED8" w:rsidR="009339CB" w:rsidRPr="006E13D1" w:rsidRDefault="009339CB" w:rsidP="009339CB">
      <w:pPr>
        <w:pStyle w:val="Heading2"/>
      </w:pPr>
      <w:r>
        <w:t>2</w:t>
      </w:r>
      <w:r w:rsidRPr="006E13D1">
        <w:t>.</w:t>
      </w:r>
      <w:r w:rsidR="00D3117A">
        <w:t>2</w:t>
      </w:r>
      <w:r w:rsidRPr="006E13D1">
        <w:tab/>
      </w:r>
      <w:r w:rsidR="0036061B">
        <w:t>Use case considerations</w:t>
      </w:r>
    </w:p>
    <w:p w14:paraId="6EAADBC5" w14:textId="1191C7EE" w:rsidR="008F730F" w:rsidRDefault="004F3527" w:rsidP="008F730F">
      <w:r>
        <w:t xml:space="preserve">In the </w:t>
      </w:r>
      <w:r w:rsidR="008F730F">
        <w:t xml:space="preserve">study item </w:t>
      </w:r>
      <w:r>
        <w:t xml:space="preserve">objective on LPHAP </w:t>
      </w:r>
      <w:r w:rsidR="008F730F">
        <w:t xml:space="preserve">the </w:t>
      </w:r>
      <w:r>
        <w:t>s</w:t>
      </w:r>
      <w:r w:rsidRPr="004F3527">
        <w:t>tudy is limited to a single representative use case (use case 6 as defined TS 22.104)</w:t>
      </w:r>
      <w:r>
        <w:t xml:space="preserve">. </w:t>
      </w:r>
      <w:r w:rsidR="008F730F">
        <w:t xml:space="preserve">RAN1 had also discussed the use case and </w:t>
      </w:r>
      <w:r>
        <w:t xml:space="preserve">had </w:t>
      </w:r>
      <w:r w:rsidR="008F730F">
        <w:t>made the following agreement:</w:t>
      </w:r>
    </w:p>
    <w:tbl>
      <w:tblPr>
        <w:tblStyle w:val="TableGrid"/>
        <w:tblW w:w="0" w:type="auto"/>
        <w:tblLook w:val="04A0" w:firstRow="1" w:lastRow="0" w:firstColumn="1" w:lastColumn="0" w:noHBand="0" w:noVBand="1"/>
      </w:tblPr>
      <w:tblGrid>
        <w:gridCol w:w="9631"/>
      </w:tblGrid>
      <w:tr w:rsidR="00A70AB7" w14:paraId="17E63890" w14:textId="77777777" w:rsidTr="00A70AB7">
        <w:tc>
          <w:tcPr>
            <w:tcW w:w="9631" w:type="dxa"/>
          </w:tcPr>
          <w:p w14:paraId="7614B763" w14:textId="77777777" w:rsidR="00A70AB7" w:rsidRPr="00BB0109" w:rsidRDefault="00A70AB7" w:rsidP="00A70AB7">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47FB89E7" w14:textId="5238DED1" w:rsidR="00A70AB7" w:rsidRPr="00A70AB7" w:rsidRDefault="00A70AB7" w:rsidP="00A70AB7">
            <w:pPr>
              <w:spacing w:after="0"/>
              <w:rPr>
                <w:rFonts w:ascii="Times" w:eastAsia="Batang" w:hAnsi="Times"/>
                <w:szCs w:val="24"/>
                <w:lang w:eastAsia="x-none"/>
              </w:rPr>
            </w:pPr>
            <w:r w:rsidRPr="00BB0109">
              <w:rPr>
                <w:rFonts w:ascii="Times" w:eastAsia="Batang" w:hAnsi="Times"/>
                <w:szCs w:val="24"/>
                <w:lang w:eastAsia="x-none"/>
              </w:rPr>
              <w:t>Confirm that use case 6 defined in TS 22.104 is the single representative use case for the study of LPHAP.</w:t>
            </w:r>
          </w:p>
        </w:tc>
      </w:tr>
    </w:tbl>
    <w:p w14:paraId="20AFB36E" w14:textId="77777777" w:rsidR="004F3527" w:rsidRDefault="004F3527" w:rsidP="008F730F"/>
    <w:p w14:paraId="6C725638" w14:textId="3BEAD41F" w:rsidR="008F730F" w:rsidRDefault="006E7910" w:rsidP="008F730F">
      <w:r>
        <w:t>So, b</w:t>
      </w:r>
      <w:r w:rsidR="008F730F">
        <w:t xml:space="preserve">ased on the study item objective and </w:t>
      </w:r>
      <w:r>
        <w:t xml:space="preserve">the </w:t>
      </w:r>
      <w:r w:rsidR="008F730F">
        <w:t xml:space="preserve">RAN1 agreement, RAN2 </w:t>
      </w:r>
      <w:r>
        <w:t xml:space="preserve">should </w:t>
      </w:r>
      <w:r w:rsidR="008F730F">
        <w:t xml:space="preserve">also </w:t>
      </w:r>
      <w:r>
        <w:t xml:space="preserve">restrict </w:t>
      </w:r>
      <w:r w:rsidR="008F730F">
        <w:t xml:space="preserve">the use case for any </w:t>
      </w:r>
      <w:r>
        <w:t xml:space="preserve">LPHAP </w:t>
      </w:r>
      <w:r w:rsidR="008F730F">
        <w:t>discussion</w:t>
      </w:r>
      <w:r>
        <w:t>s</w:t>
      </w:r>
      <w:r w:rsidR="008F730F">
        <w:t xml:space="preserve"> in RAN2 to this use case 6 from </w:t>
      </w:r>
      <w:r>
        <w:t xml:space="preserve">TS </w:t>
      </w:r>
      <w:r w:rsidR="008F730F">
        <w:t>22.104</w:t>
      </w:r>
      <w:r>
        <w:t>.</w:t>
      </w:r>
    </w:p>
    <w:p w14:paraId="79B38732" w14:textId="010E5348" w:rsidR="00734603" w:rsidRDefault="006E7910" w:rsidP="008F730F">
      <w:r>
        <w:t xml:space="preserve">Regarding use case 6 in TS 22.104, it is not immediately obvious what this use case 6 is </w:t>
      </w:r>
      <w:r w:rsidR="0078291E">
        <w:t>but after a closer look at TS 22.104</w:t>
      </w:r>
      <w:r w:rsidR="00AC3E59">
        <w:t xml:space="preserve"> </w:t>
      </w:r>
      <w:r w:rsidR="0078291E">
        <w:t>the requirements for LPHAP can be found in Section 5.7.2 and Annex A.7.2.</w:t>
      </w:r>
      <w:r>
        <w:t xml:space="preserve"> </w:t>
      </w:r>
      <w:r w:rsidR="0063320F">
        <w:t xml:space="preserve">Even though TS 22.104 is all about cyber-physical control applications that includes many different use cases, the use case 6 is specifically about tracking of </w:t>
      </w:r>
      <w:r w:rsidR="00A56044">
        <w:t xml:space="preserve">a </w:t>
      </w:r>
      <w:r w:rsidR="0063320F">
        <w:t>workpiece in flexible assembly cells (assembly area</w:t>
      </w:r>
      <w:r w:rsidR="00A55679">
        <w:t>s</w:t>
      </w:r>
      <w:r w:rsidR="0063320F">
        <w:t xml:space="preserve">) on the shop floor which falls under the ‘Factories of the future’ vertical domain and </w:t>
      </w:r>
      <w:r w:rsidR="00360067">
        <w:t xml:space="preserve">specifically the </w:t>
      </w:r>
      <w:r w:rsidR="0063320F">
        <w:t>‘Factory automation’ application area.</w:t>
      </w:r>
      <w:r w:rsidR="00C24C2D">
        <w:t xml:space="preserve"> </w:t>
      </w:r>
      <w:r w:rsidR="00734603">
        <w:t xml:space="preserve">Note that Table A.7.2-1 in TS 22.104 also lists other use cases under the ‘Factory automation’ application area like </w:t>
      </w:r>
      <w:r w:rsidR="00A55679">
        <w:t>‘</w:t>
      </w:r>
      <w:r w:rsidR="00734603">
        <w:t>tracking of tool</w:t>
      </w:r>
      <w:r w:rsidR="00A55679">
        <w:t>’</w:t>
      </w:r>
      <w:r w:rsidR="00734603">
        <w:t xml:space="preserve"> and </w:t>
      </w:r>
      <w:r w:rsidR="00A55679">
        <w:t>‘</w:t>
      </w:r>
      <w:r w:rsidR="00734603">
        <w:t>tracking of autonomous vehicle</w:t>
      </w:r>
      <w:r w:rsidR="00A55679">
        <w:t>’</w:t>
      </w:r>
      <w:r w:rsidR="00734603">
        <w:t xml:space="preserve"> but these have slightly different positioning performance requirement</w:t>
      </w:r>
      <w:r w:rsidR="00A55679">
        <w:t>s</w:t>
      </w:r>
      <w:r w:rsidR="00734603">
        <w:t>. The focus of LPHAP study in RAN2 must be specifically about this tracking of workpiece in assemble area as described below in TS 22.104:</w:t>
      </w:r>
    </w:p>
    <w:tbl>
      <w:tblPr>
        <w:tblStyle w:val="TableGrid"/>
        <w:tblW w:w="0" w:type="auto"/>
        <w:tblLook w:val="04A0" w:firstRow="1" w:lastRow="0" w:firstColumn="1" w:lastColumn="0" w:noHBand="0" w:noVBand="1"/>
      </w:tblPr>
      <w:tblGrid>
        <w:gridCol w:w="9631"/>
      </w:tblGrid>
      <w:tr w:rsidR="00734603" w14:paraId="72E78343" w14:textId="77777777" w:rsidTr="00734603">
        <w:tc>
          <w:tcPr>
            <w:tcW w:w="9631" w:type="dxa"/>
          </w:tcPr>
          <w:p w14:paraId="77E4C3BC" w14:textId="77777777" w:rsidR="00734603" w:rsidRDefault="00734603" w:rsidP="00734603">
            <w:pPr>
              <w:keepNext/>
              <w:rPr>
                <w:i/>
                <w:lang w:eastAsia="en-GB"/>
              </w:rPr>
            </w:pPr>
            <w:r>
              <w:rPr>
                <w:i/>
              </w:rPr>
              <w:lastRenderedPageBreak/>
              <w:t>Use case six</w:t>
            </w:r>
          </w:p>
          <w:p w14:paraId="04CE217E" w14:textId="2C511711" w:rsidR="00734603" w:rsidRDefault="00734603" w:rsidP="008F730F">
            <w:pPr>
              <w:rPr>
                <w:lang w:eastAsia="zh-CN"/>
              </w:rPr>
            </w:pPr>
            <w:r>
              <w:rPr>
                <w:lang w:eastAsia="zh-CN"/>
              </w:rPr>
              <w:t>Flexible modular assembly area: Tracking of workpiece (in- and outdoor) in assembly area and warehouse.</w:t>
            </w:r>
          </w:p>
        </w:tc>
      </w:tr>
    </w:tbl>
    <w:p w14:paraId="4ACD1BDE" w14:textId="77777777" w:rsidR="00734603" w:rsidRDefault="00734603" w:rsidP="008F730F"/>
    <w:p w14:paraId="289DD17E" w14:textId="77777777" w:rsidR="00444B18" w:rsidRDefault="00444B18" w:rsidP="008F730F">
      <w:r>
        <w:t xml:space="preserve">The requirements for this use case 6 </w:t>
      </w:r>
      <w:proofErr w:type="gramStart"/>
      <w:r>
        <w:t>is</w:t>
      </w:r>
      <w:proofErr w:type="gramEnd"/>
      <w:r>
        <w:t xml:space="preserve"> as follows: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444B18" w14:paraId="38262AB1" w14:textId="77777777" w:rsidTr="00444B18">
        <w:trPr>
          <w:trHeight w:val="642"/>
          <w:jc w:val="center"/>
        </w:trPr>
        <w:tc>
          <w:tcPr>
            <w:tcW w:w="1348" w:type="dxa"/>
            <w:tcBorders>
              <w:top w:val="single" w:sz="4" w:space="0" w:color="auto"/>
              <w:left w:val="single" w:sz="4" w:space="0" w:color="auto"/>
              <w:bottom w:val="single" w:sz="4" w:space="0" w:color="auto"/>
              <w:right w:val="single" w:sz="4" w:space="0" w:color="auto"/>
            </w:tcBorders>
            <w:hideMark/>
          </w:tcPr>
          <w:p w14:paraId="12B95567" w14:textId="77777777" w:rsidR="00444B18" w:rsidRDefault="00444B18">
            <w:pPr>
              <w:pStyle w:val="TAH"/>
              <w:rPr>
                <w:lang w:eastAsia="zh-CN"/>
              </w:rPr>
            </w:pPr>
            <w:r>
              <w:t>Use</w:t>
            </w:r>
            <w:r>
              <w:rPr>
                <w:lang w:eastAsia="zh-CN"/>
              </w:rPr>
              <w:t xml:space="preserve"> Case #</w:t>
            </w:r>
          </w:p>
        </w:tc>
        <w:tc>
          <w:tcPr>
            <w:tcW w:w="1228" w:type="dxa"/>
            <w:tcBorders>
              <w:top w:val="single" w:sz="4" w:space="0" w:color="auto"/>
              <w:left w:val="single" w:sz="4" w:space="0" w:color="auto"/>
              <w:bottom w:val="single" w:sz="4" w:space="0" w:color="auto"/>
              <w:right w:val="single" w:sz="4" w:space="0" w:color="auto"/>
            </w:tcBorders>
            <w:hideMark/>
          </w:tcPr>
          <w:p w14:paraId="6B0E101B" w14:textId="77777777" w:rsidR="00444B18" w:rsidRDefault="00444B18">
            <w:pPr>
              <w:pStyle w:val="TAH"/>
              <w:rPr>
                <w:lang w:eastAsia="en-GB"/>
              </w:rPr>
            </w:pPr>
            <w:r>
              <w:t>Horizontal accuracy</w:t>
            </w:r>
          </w:p>
        </w:tc>
        <w:tc>
          <w:tcPr>
            <w:tcW w:w="1497" w:type="dxa"/>
            <w:tcBorders>
              <w:top w:val="single" w:sz="4" w:space="0" w:color="auto"/>
              <w:left w:val="single" w:sz="4" w:space="0" w:color="auto"/>
              <w:bottom w:val="single" w:sz="4" w:space="0" w:color="auto"/>
              <w:right w:val="single" w:sz="4" w:space="0" w:color="auto"/>
            </w:tcBorders>
            <w:hideMark/>
          </w:tcPr>
          <w:p w14:paraId="158CC4C9" w14:textId="77777777" w:rsidR="00444B18" w:rsidRDefault="00444B18">
            <w:pPr>
              <w:pStyle w:val="TAH"/>
            </w:pPr>
            <w:r>
              <w:t>Corresponding service level (22.261)</w:t>
            </w:r>
          </w:p>
        </w:tc>
        <w:tc>
          <w:tcPr>
            <w:tcW w:w="2058" w:type="dxa"/>
            <w:tcBorders>
              <w:top w:val="single" w:sz="4" w:space="0" w:color="auto"/>
              <w:left w:val="single" w:sz="4" w:space="0" w:color="auto"/>
              <w:bottom w:val="single" w:sz="4" w:space="0" w:color="auto"/>
              <w:right w:val="single" w:sz="4" w:space="0" w:color="auto"/>
            </w:tcBorders>
            <w:hideMark/>
          </w:tcPr>
          <w:p w14:paraId="546618ED" w14:textId="77777777" w:rsidR="00444B18" w:rsidRDefault="00444B18">
            <w:pPr>
              <w:pStyle w:val="TAH"/>
            </w:pPr>
            <w:r>
              <w:t>Positioning interval/ duty cycle</w:t>
            </w:r>
          </w:p>
        </w:tc>
        <w:tc>
          <w:tcPr>
            <w:tcW w:w="3187" w:type="dxa"/>
            <w:tcBorders>
              <w:top w:val="single" w:sz="4" w:space="0" w:color="auto"/>
              <w:left w:val="single" w:sz="4" w:space="0" w:color="auto"/>
              <w:bottom w:val="single" w:sz="4" w:space="0" w:color="auto"/>
              <w:right w:val="single" w:sz="4" w:space="0" w:color="auto"/>
            </w:tcBorders>
            <w:hideMark/>
          </w:tcPr>
          <w:p w14:paraId="6BD727FE" w14:textId="63FF9B96" w:rsidR="00444B18" w:rsidRDefault="00444B18">
            <w:pPr>
              <w:pStyle w:val="TAH"/>
            </w:pPr>
            <w:r>
              <w:t>battery lifetime/ minimum operation time</w:t>
            </w:r>
          </w:p>
        </w:tc>
      </w:tr>
      <w:tr w:rsidR="00444B18" w14:paraId="1D8B8179" w14:textId="77777777" w:rsidTr="00444B18">
        <w:trPr>
          <w:trHeight w:val="248"/>
          <w:jc w:val="center"/>
        </w:trPr>
        <w:tc>
          <w:tcPr>
            <w:tcW w:w="1348" w:type="dxa"/>
            <w:tcBorders>
              <w:top w:val="single" w:sz="4" w:space="0" w:color="auto"/>
              <w:left w:val="single" w:sz="4" w:space="0" w:color="auto"/>
              <w:bottom w:val="single" w:sz="4" w:space="0" w:color="auto"/>
              <w:right w:val="single" w:sz="4" w:space="0" w:color="auto"/>
            </w:tcBorders>
            <w:hideMark/>
          </w:tcPr>
          <w:p w14:paraId="3A56D1AA" w14:textId="77777777" w:rsidR="00444B18" w:rsidRDefault="00444B18">
            <w:pPr>
              <w:pStyle w:val="TAC"/>
              <w:jc w:val="left"/>
              <w:rPr>
                <w:rFonts w:eastAsia="SimSun"/>
              </w:rPr>
            </w:pPr>
            <w:r>
              <w:rPr>
                <w:rFonts w:eastAsia="SimSun"/>
              </w:rPr>
              <w:t>6</w:t>
            </w:r>
          </w:p>
        </w:tc>
        <w:tc>
          <w:tcPr>
            <w:tcW w:w="1228" w:type="dxa"/>
            <w:tcBorders>
              <w:top w:val="single" w:sz="4" w:space="0" w:color="auto"/>
              <w:left w:val="single" w:sz="4" w:space="0" w:color="auto"/>
              <w:bottom w:val="single" w:sz="4" w:space="0" w:color="auto"/>
              <w:right w:val="single" w:sz="4" w:space="0" w:color="auto"/>
            </w:tcBorders>
            <w:hideMark/>
          </w:tcPr>
          <w:p w14:paraId="2FB62ADE" w14:textId="77777777" w:rsidR="00444B18" w:rsidRDefault="00444B18">
            <w:pPr>
              <w:pStyle w:val="TAC"/>
              <w:jc w:val="left"/>
              <w:rPr>
                <w:rFonts w:eastAsia="SimSun"/>
              </w:rPr>
            </w:pPr>
            <w:r>
              <w:rPr>
                <w:rFonts w:eastAsia="SimSun"/>
              </w:rPr>
              <w:t>&lt; 1 m</w:t>
            </w:r>
          </w:p>
        </w:tc>
        <w:tc>
          <w:tcPr>
            <w:tcW w:w="1497" w:type="dxa"/>
            <w:tcBorders>
              <w:top w:val="single" w:sz="4" w:space="0" w:color="auto"/>
              <w:left w:val="single" w:sz="4" w:space="0" w:color="auto"/>
              <w:bottom w:val="single" w:sz="4" w:space="0" w:color="auto"/>
              <w:right w:val="single" w:sz="4" w:space="0" w:color="auto"/>
            </w:tcBorders>
            <w:hideMark/>
          </w:tcPr>
          <w:p w14:paraId="7A9764C1" w14:textId="77777777" w:rsidR="00444B18" w:rsidRDefault="00444B18">
            <w:pPr>
              <w:pStyle w:val="TAC"/>
              <w:jc w:val="left"/>
              <w:rPr>
                <w:rFonts w:eastAsia="SimSun"/>
              </w:rPr>
            </w:pPr>
            <w:r>
              <w:rPr>
                <w:rFonts w:eastAsia="SimSun"/>
              </w:rPr>
              <w:t>Service Level 3</w:t>
            </w:r>
          </w:p>
        </w:tc>
        <w:tc>
          <w:tcPr>
            <w:tcW w:w="2058" w:type="dxa"/>
            <w:tcBorders>
              <w:top w:val="single" w:sz="4" w:space="0" w:color="auto"/>
              <w:left w:val="single" w:sz="4" w:space="0" w:color="auto"/>
              <w:bottom w:val="single" w:sz="4" w:space="0" w:color="auto"/>
              <w:right w:val="single" w:sz="4" w:space="0" w:color="auto"/>
            </w:tcBorders>
            <w:hideMark/>
          </w:tcPr>
          <w:p w14:paraId="1D0145B6" w14:textId="77777777" w:rsidR="00444B18" w:rsidRDefault="00444B18">
            <w:pPr>
              <w:pStyle w:val="TAC"/>
              <w:jc w:val="left"/>
              <w:rPr>
                <w:rFonts w:eastAsia="SimSun"/>
              </w:rPr>
            </w:pPr>
            <w:r>
              <w:rPr>
                <w:rFonts w:eastAsia="SimSun"/>
              </w:rPr>
              <w:t>15 s to 30 s</w:t>
            </w:r>
          </w:p>
        </w:tc>
        <w:tc>
          <w:tcPr>
            <w:tcW w:w="3187" w:type="dxa"/>
            <w:tcBorders>
              <w:top w:val="single" w:sz="4" w:space="0" w:color="auto"/>
              <w:left w:val="single" w:sz="4" w:space="0" w:color="auto"/>
              <w:bottom w:val="single" w:sz="4" w:space="0" w:color="auto"/>
              <w:right w:val="single" w:sz="4" w:space="0" w:color="auto"/>
            </w:tcBorders>
            <w:hideMark/>
          </w:tcPr>
          <w:p w14:paraId="54DC2BDC" w14:textId="77777777" w:rsidR="00444B18" w:rsidRDefault="00444B18">
            <w:pPr>
              <w:pStyle w:val="TAC"/>
              <w:jc w:val="left"/>
              <w:rPr>
                <w:rFonts w:eastAsia="SimSun"/>
              </w:rPr>
            </w:pPr>
            <w:r>
              <w:rPr>
                <w:rFonts w:eastAsia="SimSun"/>
              </w:rPr>
              <w:t xml:space="preserve">6 - 12 months </w:t>
            </w:r>
          </w:p>
        </w:tc>
      </w:tr>
    </w:tbl>
    <w:p w14:paraId="7F0B5E94" w14:textId="453FABFC" w:rsidR="00444B18" w:rsidRDefault="00444B18" w:rsidP="008F730F"/>
    <w:p w14:paraId="790D1CB0" w14:textId="4843566E" w:rsidR="00324D19" w:rsidRDefault="00324D19" w:rsidP="00324D19">
      <w:r>
        <w:rPr>
          <w:b/>
        </w:rPr>
        <w:t>Proposal</w:t>
      </w:r>
      <w:r w:rsidRPr="00B84DB2">
        <w:rPr>
          <w:b/>
        </w:rPr>
        <w:t xml:space="preserve"> 1</w:t>
      </w:r>
      <w:r w:rsidRPr="007A2E55">
        <w:rPr>
          <w:bCs/>
        </w:rPr>
        <w:t>:</w:t>
      </w:r>
      <w:r>
        <w:t xml:space="preserve"> RAN2 shall restrict </w:t>
      </w:r>
      <w:r w:rsidRPr="00324D19">
        <w:t>the use case for any LPHAP discussions in RAN2 to</w:t>
      </w:r>
      <w:r>
        <w:t xml:space="preserve"> </w:t>
      </w:r>
      <w:r w:rsidRPr="00324D19">
        <w:t>Tracking of workpiece (in- and outdoor) in assembly area and warehouse</w:t>
      </w:r>
      <w:r>
        <w:t xml:space="preserve"> (Use case # 6 in Table A.7.2-1 in TS 22.104).</w:t>
      </w:r>
    </w:p>
    <w:p w14:paraId="2ABF9488" w14:textId="592B99C6" w:rsidR="00324D19" w:rsidRDefault="00324D19" w:rsidP="008F730F">
      <w:r>
        <w:t>TS 22.104 says in Section A.7.1:</w:t>
      </w:r>
    </w:p>
    <w:p w14:paraId="18C641CB" w14:textId="50C31A56" w:rsidR="00324D19" w:rsidRDefault="00324D19" w:rsidP="008F730F">
      <w:r>
        <w:t>“In the best case</w:t>
      </w:r>
      <w:r w:rsidRPr="000E60EA">
        <w:t xml:space="preserve"> all relevant goods and products are </w:t>
      </w:r>
      <w:r w:rsidRPr="00324D19">
        <w:rPr>
          <w:b/>
          <w:bCs/>
        </w:rPr>
        <w:t>continuously tracked</w:t>
      </w:r>
      <w:r w:rsidRPr="000E60EA">
        <w:t xml:space="preserve"> from the moment they are received to the moment they are made available.</w:t>
      </w:r>
      <w:r>
        <w:t>”</w:t>
      </w:r>
    </w:p>
    <w:p w14:paraId="67D64569" w14:textId="43A11942" w:rsidR="004E0166" w:rsidRDefault="004E0166" w:rsidP="008F730F">
      <w:r>
        <w:t>It is also said:</w:t>
      </w:r>
    </w:p>
    <w:p w14:paraId="1652C2C9" w14:textId="0FBCB587" w:rsidR="004E0166" w:rsidRDefault="004E0166" w:rsidP="008F730F">
      <w:r>
        <w:t>“</w:t>
      </w:r>
      <w:r w:rsidRPr="000E60EA">
        <w:t xml:space="preserve">In the process, production machinery and assembly cells and their given status are monitored seamlessly </w:t>
      </w:r>
      <w:r w:rsidRPr="004E0166">
        <w:rPr>
          <w:b/>
          <w:bCs/>
        </w:rPr>
        <w:t xml:space="preserve">while relevant objects like </w:t>
      </w:r>
      <w:r w:rsidRPr="004E0166">
        <w:t>tools</w:t>
      </w:r>
      <w:r w:rsidRPr="004E0166">
        <w:rPr>
          <w:b/>
          <w:bCs/>
        </w:rPr>
        <w:t xml:space="preserve"> </w:t>
      </w:r>
      <w:r w:rsidRPr="004E0166">
        <w:t>and</w:t>
      </w:r>
      <w:r w:rsidRPr="004E0166">
        <w:rPr>
          <w:b/>
          <w:bCs/>
        </w:rPr>
        <w:t xml:space="preserve"> workpieces being localized</w:t>
      </w:r>
      <w:r w:rsidRPr="000E60EA">
        <w:t>.</w:t>
      </w:r>
      <w:r>
        <w:t>”</w:t>
      </w:r>
    </w:p>
    <w:p w14:paraId="558CAAA6" w14:textId="5BCB93B8" w:rsidR="004E0166" w:rsidRDefault="004E0166" w:rsidP="008F730F">
      <w:r>
        <w:t xml:space="preserve">It is </w:t>
      </w:r>
      <w:r w:rsidR="009B4296">
        <w:t>our</w:t>
      </w:r>
      <w:r>
        <w:t xml:space="preserve"> understanding that for the tracking of workpiece use case we need periodic positioning and this being a LPHAP use case, the use of ‘</w:t>
      </w:r>
      <w:r w:rsidRPr="004E0166">
        <w:t>Low Power Periodic and Triggered 5GC-MT-LR Procedures</w:t>
      </w:r>
      <w:r>
        <w:t>’ in TS 23.273 are a good candidate for further analysis to see how we can achieve better UE battery lifetime</w:t>
      </w:r>
      <w:r w:rsidR="00F01DD4">
        <w:t xml:space="preserve"> to meet the LPHAP requirement for use case #6.</w:t>
      </w:r>
    </w:p>
    <w:p w14:paraId="0E1D5BF1" w14:textId="02B3D25A" w:rsidR="009339CB" w:rsidRDefault="0008214D" w:rsidP="009339CB">
      <w:r>
        <w:rPr>
          <w:b/>
        </w:rPr>
        <w:t>Proposal</w:t>
      </w:r>
      <w:r w:rsidR="009339CB" w:rsidRPr="00B84DB2">
        <w:rPr>
          <w:b/>
        </w:rPr>
        <w:t xml:space="preserve"> </w:t>
      </w:r>
      <w:r>
        <w:rPr>
          <w:b/>
        </w:rPr>
        <w:t>2</w:t>
      </w:r>
      <w:r w:rsidR="009339CB" w:rsidRPr="007A2E55">
        <w:rPr>
          <w:bCs/>
        </w:rPr>
        <w:t>:</w:t>
      </w:r>
      <w:r w:rsidR="009339CB">
        <w:t xml:space="preserve"> </w:t>
      </w:r>
      <w:r>
        <w:t xml:space="preserve">RAN2 to </w:t>
      </w:r>
      <w:r w:rsidR="00AF42BC">
        <w:t>use</w:t>
      </w:r>
      <w:r>
        <w:t xml:space="preserve"> the ‘</w:t>
      </w:r>
      <w:r w:rsidRPr="004E0166">
        <w:t>Low Power Periodic and Triggered 5GC-MT-LR Procedures</w:t>
      </w:r>
      <w:r>
        <w:t>’ in TS 23.273, which also includes the UE positioning procedures between UE and LMF</w:t>
      </w:r>
      <w:r w:rsidR="00AF42BC">
        <w:t xml:space="preserve"> (LPP procedures), in their study on LPHAP</w:t>
      </w:r>
      <w:r w:rsidR="009339CB">
        <w:t>.</w:t>
      </w:r>
    </w:p>
    <w:p w14:paraId="6327A5E6" w14:textId="046A79DD" w:rsidR="009339CB" w:rsidRPr="006E13D1" w:rsidRDefault="009339CB" w:rsidP="009339CB">
      <w:pPr>
        <w:pStyle w:val="Heading2"/>
      </w:pPr>
      <w:r>
        <w:t>2</w:t>
      </w:r>
      <w:r w:rsidRPr="006E13D1">
        <w:t>.</w:t>
      </w:r>
      <w:r w:rsidR="00D3117A">
        <w:t>3</w:t>
      </w:r>
      <w:r w:rsidRPr="006E13D1">
        <w:tab/>
      </w:r>
      <w:r w:rsidR="00140BDD">
        <w:t>LPHAP study in RAN</w:t>
      </w:r>
      <w:r w:rsidRPr="006E13D1">
        <w:t>2</w:t>
      </w:r>
    </w:p>
    <w:p w14:paraId="45A22FAF" w14:textId="6449477D" w:rsidR="00140BDD" w:rsidRDefault="00140BDD" w:rsidP="00140BDD">
      <w:r>
        <w:t xml:space="preserve">RAN1 had </w:t>
      </w:r>
      <w:r w:rsidR="00EF47FB">
        <w:t xml:space="preserve">already spent one meeting </w:t>
      </w:r>
      <w:r>
        <w:t>discuss</w:t>
      </w:r>
      <w:r w:rsidR="00EF47FB">
        <w:t>ing</w:t>
      </w:r>
      <w:r>
        <w:t xml:space="preserve"> Rel-18 NR positioning</w:t>
      </w:r>
      <w:r w:rsidR="00EF47FB">
        <w:t xml:space="preserve">, including the </w:t>
      </w:r>
      <w:r>
        <w:t>LPHAP</w:t>
      </w:r>
      <w:r w:rsidR="001C2CFD">
        <w:t xml:space="preserve"> topic and </w:t>
      </w:r>
      <w:r>
        <w:t xml:space="preserve">RAN1 had </w:t>
      </w:r>
      <w:r w:rsidR="009A4ECB">
        <w:t>made</w:t>
      </w:r>
      <w:r w:rsidR="00EF47FB">
        <w:t xml:space="preserve"> the </w:t>
      </w:r>
      <w:r>
        <w:t>following</w:t>
      </w:r>
      <w:r w:rsidR="009A4ECB">
        <w:t xml:space="preserve"> agreements and conclusion</w:t>
      </w:r>
      <w:r>
        <w:t>:</w:t>
      </w:r>
    </w:p>
    <w:tbl>
      <w:tblPr>
        <w:tblStyle w:val="TableGrid"/>
        <w:tblW w:w="0" w:type="auto"/>
        <w:tblLook w:val="04A0" w:firstRow="1" w:lastRow="0" w:firstColumn="1" w:lastColumn="0" w:noHBand="0" w:noVBand="1"/>
      </w:tblPr>
      <w:tblGrid>
        <w:gridCol w:w="9631"/>
      </w:tblGrid>
      <w:tr w:rsidR="00EF47FB" w14:paraId="27A24076" w14:textId="77777777" w:rsidTr="00EF47FB">
        <w:tc>
          <w:tcPr>
            <w:tcW w:w="9631" w:type="dxa"/>
          </w:tcPr>
          <w:p w14:paraId="6EF33B49" w14:textId="77777777" w:rsidR="009A4ECB" w:rsidRPr="00BB0109" w:rsidRDefault="009A4ECB" w:rsidP="009A4ECB">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043664AC" w14:textId="77777777" w:rsidR="009A4ECB" w:rsidRPr="00BB0109" w:rsidRDefault="009A4ECB" w:rsidP="009A4ECB">
            <w:pPr>
              <w:numPr>
                <w:ilvl w:val="0"/>
                <w:numId w:val="10"/>
              </w:numPr>
              <w:spacing w:after="0"/>
              <w:ind w:left="760" w:hanging="340"/>
              <w:rPr>
                <w:rFonts w:ascii="Times" w:eastAsia="Batang" w:hAnsi="Times"/>
                <w:szCs w:val="24"/>
                <w:lang w:eastAsia="x-none"/>
              </w:rPr>
            </w:pPr>
            <w:r w:rsidRPr="00BB0109">
              <w:rPr>
                <w:rFonts w:ascii="Times" w:eastAsia="Batang" w:hAnsi="Times"/>
                <w:szCs w:val="24"/>
                <w:lang w:eastAsia="x-none"/>
              </w:rPr>
              <w:t xml:space="preserve">In Rel-18 low power and high accuracy positioning, adopt the following requirement: </w:t>
            </w:r>
          </w:p>
          <w:p w14:paraId="35C0C56B" w14:textId="77777777" w:rsidR="009A4ECB" w:rsidRPr="00BB0109" w:rsidRDefault="009A4ECB" w:rsidP="009A4ECB">
            <w:pPr>
              <w:numPr>
                <w:ilvl w:val="1"/>
                <w:numId w:val="10"/>
              </w:numPr>
              <w:spacing w:after="0"/>
              <w:rPr>
                <w:rFonts w:ascii="Times" w:eastAsia="Batang" w:hAnsi="Times"/>
                <w:szCs w:val="24"/>
                <w:lang w:eastAsia="x-none"/>
              </w:rPr>
            </w:pPr>
            <w:r w:rsidRPr="00BB0109">
              <w:rPr>
                <w:rFonts w:ascii="Times" w:eastAsia="Batang" w:hAnsi="Times"/>
                <w:szCs w:val="24"/>
                <w:lang w:eastAsia="x-none"/>
              </w:rPr>
              <w:t>Horizontal positioning accuracy &lt; 1 m for 90% of UEs</w:t>
            </w:r>
          </w:p>
          <w:p w14:paraId="3F6276C8" w14:textId="77777777" w:rsidR="009A4ECB" w:rsidRPr="00BB0109" w:rsidRDefault="009A4ECB" w:rsidP="009A4ECB">
            <w:pPr>
              <w:numPr>
                <w:ilvl w:val="1"/>
                <w:numId w:val="10"/>
              </w:numPr>
              <w:spacing w:after="0"/>
              <w:rPr>
                <w:rFonts w:ascii="Times" w:eastAsia="Batang" w:hAnsi="Times"/>
                <w:szCs w:val="24"/>
                <w:lang w:eastAsia="x-none"/>
              </w:rPr>
            </w:pPr>
            <w:r w:rsidRPr="00BB0109">
              <w:rPr>
                <w:rFonts w:ascii="Times" w:eastAsia="Batang" w:hAnsi="Times"/>
                <w:szCs w:val="24"/>
                <w:lang w:eastAsia="x-none"/>
              </w:rPr>
              <w:t>Positioning interval / duty cycle of 15-30 s</w:t>
            </w:r>
          </w:p>
          <w:p w14:paraId="3F73B97D" w14:textId="77777777" w:rsidR="009A4ECB" w:rsidRPr="00BB0109" w:rsidRDefault="009A4ECB" w:rsidP="009A4ECB">
            <w:pPr>
              <w:numPr>
                <w:ilvl w:val="1"/>
                <w:numId w:val="10"/>
              </w:numPr>
              <w:spacing w:after="0"/>
              <w:rPr>
                <w:rFonts w:ascii="Times" w:eastAsia="Batang" w:hAnsi="Times"/>
                <w:szCs w:val="24"/>
                <w:lang w:eastAsia="x-none"/>
              </w:rPr>
            </w:pPr>
            <w:r w:rsidRPr="00BB0109">
              <w:rPr>
                <w:rFonts w:ascii="Times" w:eastAsia="Batang" w:hAnsi="Times"/>
                <w:szCs w:val="24"/>
                <w:lang w:eastAsia="x-none"/>
              </w:rPr>
              <w:t>UE battery life of 6 months – 1 year</w:t>
            </w:r>
          </w:p>
          <w:p w14:paraId="559FBA4A" w14:textId="77777777" w:rsidR="009A4ECB" w:rsidRPr="00BB0109" w:rsidRDefault="009A4ECB" w:rsidP="009A4ECB">
            <w:pPr>
              <w:numPr>
                <w:ilvl w:val="0"/>
                <w:numId w:val="10"/>
              </w:numPr>
              <w:spacing w:after="0"/>
              <w:ind w:left="760" w:hanging="340"/>
              <w:rPr>
                <w:rFonts w:ascii="Times" w:eastAsia="Batang" w:hAnsi="Times"/>
                <w:szCs w:val="24"/>
                <w:lang w:eastAsia="x-none"/>
              </w:rPr>
            </w:pPr>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p>
          <w:p w14:paraId="6BBA8677" w14:textId="77777777" w:rsidR="009A4ECB" w:rsidRPr="00BB0109" w:rsidRDefault="009A4ECB" w:rsidP="009A4ECB">
            <w:pPr>
              <w:spacing w:after="0"/>
              <w:rPr>
                <w:rFonts w:ascii="Times" w:eastAsia="Batang" w:hAnsi="Times"/>
                <w:szCs w:val="24"/>
                <w:lang w:eastAsia="x-none"/>
              </w:rPr>
            </w:pPr>
          </w:p>
          <w:p w14:paraId="6DC57E69" w14:textId="77777777" w:rsidR="009A4ECB" w:rsidRPr="00BB0109" w:rsidRDefault="009A4ECB" w:rsidP="009A4ECB">
            <w:pPr>
              <w:spacing w:after="0"/>
              <w:rPr>
                <w:rFonts w:ascii="Times" w:eastAsia="Batang" w:hAnsi="Times"/>
                <w:b/>
                <w:szCs w:val="24"/>
                <w:lang w:eastAsia="x-none"/>
              </w:rPr>
            </w:pPr>
            <w:r w:rsidRPr="00BB0109">
              <w:rPr>
                <w:rFonts w:ascii="Times" w:eastAsia="Batang" w:hAnsi="Times"/>
                <w:b/>
                <w:szCs w:val="24"/>
                <w:lang w:eastAsia="x-none"/>
              </w:rPr>
              <w:t>Conclusion</w:t>
            </w:r>
          </w:p>
          <w:p w14:paraId="4C8F73A9" w14:textId="77777777" w:rsidR="009A4ECB" w:rsidRPr="00BB0109" w:rsidRDefault="009A4ECB" w:rsidP="009A4ECB">
            <w:pPr>
              <w:numPr>
                <w:ilvl w:val="0"/>
                <w:numId w:val="10"/>
              </w:numPr>
              <w:spacing w:after="0"/>
              <w:ind w:left="760" w:hanging="340"/>
              <w:rPr>
                <w:rFonts w:ascii="Times" w:eastAsia="Batang" w:hAnsi="Times"/>
                <w:szCs w:val="24"/>
                <w:lang w:eastAsia="x-none"/>
              </w:rPr>
            </w:pPr>
            <w:r w:rsidRPr="00BB0109">
              <w:rPr>
                <w:rFonts w:ascii="Times" w:eastAsia="Batang" w:hAnsi="Times"/>
                <w:szCs w:val="24"/>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3654FB6D" w14:textId="77777777" w:rsidR="009A4ECB" w:rsidRPr="00BB0109" w:rsidRDefault="009A4ECB" w:rsidP="009A4ECB">
            <w:pPr>
              <w:numPr>
                <w:ilvl w:val="0"/>
                <w:numId w:val="10"/>
              </w:numPr>
              <w:spacing w:after="0"/>
              <w:ind w:left="760" w:hanging="340"/>
              <w:rPr>
                <w:rFonts w:ascii="Times" w:eastAsia="Batang" w:hAnsi="Times"/>
                <w:szCs w:val="24"/>
                <w:lang w:eastAsia="x-none"/>
              </w:rPr>
            </w:pPr>
            <w:r w:rsidRPr="00BB0109">
              <w:rPr>
                <w:rFonts w:ascii="Times" w:eastAsia="Batang" w:hAnsi="Times"/>
                <w:szCs w:val="24"/>
                <w:lang w:eastAsia="x-none"/>
              </w:rPr>
              <w:t>The main aspect of RAN1 evaluation is on power consumption.</w:t>
            </w:r>
          </w:p>
          <w:p w14:paraId="34226C51" w14:textId="6418E6BF" w:rsidR="00EF47FB" w:rsidRPr="009A4ECB" w:rsidRDefault="009A4ECB" w:rsidP="00140BDD">
            <w:pPr>
              <w:numPr>
                <w:ilvl w:val="0"/>
                <w:numId w:val="10"/>
              </w:numPr>
              <w:spacing w:after="0"/>
              <w:ind w:left="760" w:hanging="340"/>
              <w:rPr>
                <w:rFonts w:ascii="Times" w:eastAsia="Batang" w:hAnsi="Times"/>
                <w:szCs w:val="24"/>
                <w:lang w:eastAsia="x-none"/>
              </w:rPr>
            </w:pPr>
            <w:r w:rsidRPr="00BB0109">
              <w:rPr>
                <w:rFonts w:ascii="Times" w:eastAsia="Batang" w:hAnsi="Times"/>
                <w:szCs w:val="24"/>
                <w:lang w:eastAsia="x-none"/>
              </w:rPr>
              <w:t>Note: This does not preclude the case that the positioning accuracy can be revisited, if found necessary at later stage.</w:t>
            </w:r>
          </w:p>
        </w:tc>
      </w:tr>
    </w:tbl>
    <w:p w14:paraId="25E67854" w14:textId="77777777" w:rsidR="00EF47FB" w:rsidRDefault="00EF47FB" w:rsidP="00140BDD"/>
    <w:p w14:paraId="15CB82A2" w14:textId="77950851" w:rsidR="00140BDD" w:rsidRDefault="001C2CFD" w:rsidP="00140BDD">
      <w:r>
        <w:t xml:space="preserve">Regarding whether existing RAN functionality can support the positioning requirements, </w:t>
      </w:r>
      <w:r w:rsidR="00140BDD">
        <w:t xml:space="preserve">RAN1 has </w:t>
      </w:r>
      <w:r>
        <w:t>concluded that</w:t>
      </w:r>
      <w:r w:rsidR="00140BDD">
        <w:t xml:space="preserve"> Rel-16/Rel-17 positioning </w:t>
      </w:r>
      <w:r>
        <w:t xml:space="preserve">techniques can </w:t>
      </w:r>
      <w:r w:rsidR="00140BDD">
        <w:t xml:space="preserve">already meet the LPHAP positioning </w:t>
      </w:r>
      <w:r>
        <w:t xml:space="preserve">accuracy </w:t>
      </w:r>
      <w:r w:rsidR="00140BDD">
        <w:t xml:space="preserve">requirement. </w:t>
      </w:r>
      <w:r>
        <w:t xml:space="preserve">They have also agreed that their focus will be on UE power consumption evaluations. </w:t>
      </w:r>
      <w:r w:rsidR="00140BDD">
        <w:t xml:space="preserve">This makes the RAN2 objective to study </w:t>
      </w:r>
      <w:r>
        <w:t xml:space="preserve">whether </w:t>
      </w:r>
      <w:r w:rsidR="00140BDD">
        <w:t>the</w:t>
      </w:r>
      <w:r>
        <w:t xml:space="preserve"> existing RAN functionality </w:t>
      </w:r>
      <w:r w:rsidRPr="001C2CFD">
        <w:t>can support the positioning requirements</w:t>
      </w:r>
      <w:r w:rsidR="00140BDD">
        <w:t xml:space="preserve"> </w:t>
      </w:r>
      <w:r>
        <w:t xml:space="preserve">not relevant anymore. Also, since RAN1 will be evaluating the </w:t>
      </w:r>
      <w:r w:rsidR="000871FC">
        <w:t>power consumption, it is better that RAN2 do not spend time on the same in parallel unless some higher layer aspects of UE power consumption analysis can be done in RAN2. One possible way forward is for RAN2 to already start looking for any higher layer enhancements that might improve the UE battery life.</w:t>
      </w:r>
    </w:p>
    <w:p w14:paraId="3B5F4988" w14:textId="74CDF3C4" w:rsidR="00140BDD" w:rsidRDefault="00140BDD" w:rsidP="00140BDD">
      <w:r w:rsidRPr="00743F5E">
        <w:rPr>
          <w:b/>
          <w:bCs/>
        </w:rPr>
        <w:lastRenderedPageBreak/>
        <w:t xml:space="preserve">Proposal </w:t>
      </w:r>
      <w:r w:rsidR="000871FC">
        <w:rPr>
          <w:b/>
          <w:bCs/>
        </w:rPr>
        <w:t>3</w:t>
      </w:r>
      <w:r>
        <w:t xml:space="preserve">: RAN2 shall not spend time on evaluating the performance of current Rel-16/Rel-17 </w:t>
      </w:r>
      <w:r w:rsidR="000871FC">
        <w:t xml:space="preserve">NR positioning </w:t>
      </w:r>
      <w:r>
        <w:t xml:space="preserve">methods to see if they meet LPHAP </w:t>
      </w:r>
      <w:r w:rsidR="000871FC">
        <w:t xml:space="preserve">positioning accuracy </w:t>
      </w:r>
      <w:r>
        <w:t>requirements</w:t>
      </w:r>
      <w:r w:rsidR="000871FC">
        <w:t>.</w:t>
      </w:r>
    </w:p>
    <w:p w14:paraId="1C0D95D9" w14:textId="7D684A50" w:rsidR="000871FC" w:rsidRDefault="000871FC" w:rsidP="00140BDD">
      <w:r w:rsidRPr="000871FC">
        <w:rPr>
          <w:b/>
          <w:bCs/>
        </w:rPr>
        <w:t>Proposal 4</w:t>
      </w:r>
      <w:r>
        <w:t>: RAN2 shall wait for RAN1 conclusions from evaluations on UE power consumption but already start investigating (study) potential areas for higher layer enhancements that may result in reduction of UE power consumption.</w:t>
      </w:r>
    </w:p>
    <w:p w14:paraId="0DF012C9" w14:textId="22DCABD7" w:rsidR="00915948" w:rsidRPr="006E13D1" w:rsidRDefault="00915948" w:rsidP="00915948">
      <w:pPr>
        <w:pStyle w:val="Heading2"/>
      </w:pPr>
      <w:r>
        <w:t>2</w:t>
      </w:r>
      <w:r w:rsidRPr="006E13D1">
        <w:t>.</w:t>
      </w:r>
      <w:r w:rsidR="00D3117A">
        <w:t>4</w:t>
      </w:r>
      <w:r w:rsidRPr="006E13D1">
        <w:tab/>
      </w:r>
      <w:r w:rsidRPr="00915948">
        <w:t>Possible enhancement areas to study</w:t>
      </w:r>
      <w:r>
        <w:t xml:space="preserve"> in RAN2</w:t>
      </w:r>
    </w:p>
    <w:p w14:paraId="0C08D877" w14:textId="38BEEB14" w:rsidR="00A93C3B" w:rsidRDefault="00A93C3B" w:rsidP="00A93C3B">
      <w:r>
        <w:t xml:space="preserve">Some potential areas </w:t>
      </w:r>
      <w:r w:rsidR="002810DB">
        <w:t xml:space="preserve">of </w:t>
      </w:r>
      <w:r>
        <w:t>enhancement</w:t>
      </w:r>
      <w:r w:rsidR="002810DB">
        <w:t>s</w:t>
      </w:r>
      <w:r>
        <w:t xml:space="preserve"> </w:t>
      </w:r>
      <w:r w:rsidR="002810DB">
        <w:t xml:space="preserve">for study </w:t>
      </w:r>
      <w:r>
        <w:t xml:space="preserve">are: </w:t>
      </w:r>
    </w:p>
    <w:p w14:paraId="4A65147D" w14:textId="73C0512D" w:rsidR="00A93C3B" w:rsidRDefault="00A93C3B" w:rsidP="00A93C3B">
      <w:pPr>
        <w:pStyle w:val="B1"/>
        <w:numPr>
          <w:ilvl w:val="0"/>
          <w:numId w:val="11"/>
        </w:numPr>
      </w:pPr>
      <w:r>
        <w:t>UE measurement and measurement reporting in RRC_INACTIVE state</w:t>
      </w:r>
    </w:p>
    <w:p w14:paraId="33F725EE" w14:textId="4A32E491" w:rsidR="00A93C3B" w:rsidRDefault="00A93C3B" w:rsidP="00A93C3B">
      <w:pPr>
        <w:pStyle w:val="B1"/>
        <w:numPr>
          <w:ilvl w:val="1"/>
          <w:numId w:val="11"/>
        </w:numPr>
      </w:pPr>
      <w:r>
        <w:t>Study optimisations to measurement reporting if the UE mobility is rare or if measurement to be reported are redundant</w:t>
      </w:r>
    </w:p>
    <w:p w14:paraId="1D7760F3" w14:textId="6F62574A" w:rsidR="00A93C3B" w:rsidRDefault="00A93C3B" w:rsidP="00A93C3B">
      <w:pPr>
        <w:pStyle w:val="B1"/>
        <w:numPr>
          <w:ilvl w:val="1"/>
          <w:numId w:val="11"/>
        </w:numPr>
      </w:pPr>
      <w:r>
        <w:t>Study if any partial measurement reporting is possible</w:t>
      </w:r>
    </w:p>
    <w:p w14:paraId="4E0D59F2" w14:textId="2ABBB802" w:rsidR="00915948" w:rsidRDefault="00A93C3B" w:rsidP="00A93C3B">
      <w:pPr>
        <w:pStyle w:val="B1"/>
        <w:numPr>
          <w:ilvl w:val="0"/>
          <w:numId w:val="11"/>
        </w:numPr>
      </w:pPr>
      <w:r>
        <w:t>Delivery of assistance data updates to UE in RRC_INACTIVE state</w:t>
      </w:r>
    </w:p>
    <w:p w14:paraId="7E8EDD98" w14:textId="57D57CCB" w:rsidR="00A93C3B" w:rsidRDefault="00A93C3B" w:rsidP="00A93C3B">
      <w:pPr>
        <w:pStyle w:val="B1"/>
        <w:numPr>
          <w:ilvl w:val="1"/>
          <w:numId w:val="11"/>
        </w:numPr>
      </w:pPr>
      <w:r>
        <w:t>Study optimisations to PRS assistance data updates</w:t>
      </w:r>
      <w:r w:rsidR="002810DB">
        <w:t xml:space="preserve"> e.g., provide UE with only those PRS configuration parameters that have changed on the network side</w:t>
      </w:r>
    </w:p>
    <w:p w14:paraId="17B821A9" w14:textId="23DED38D" w:rsidR="00915948" w:rsidRDefault="002810DB" w:rsidP="00884B3C">
      <w:pPr>
        <w:pStyle w:val="B1"/>
        <w:numPr>
          <w:ilvl w:val="0"/>
          <w:numId w:val="11"/>
        </w:numPr>
      </w:pPr>
      <w:r>
        <w:t>Study if pre-configuration and area wide SRS configuration is possible like the Rel-17 pre-configuration of PRS assistance data</w:t>
      </w:r>
    </w:p>
    <w:p w14:paraId="69B7B8E6" w14:textId="69E07FC9" w:rsidR="009339CB" w:rsidRPr="006E13D1" w:rsidRDefault="005A13AB" w:rsidP="009339CB">
      <w:pPr>
        <w:pStyle w:val="Heading1"/>
      </w:pPr>
      <w:r>
        <w:t>3</w:t>
      </w:r>
      <w:r w:rsidR="009339CB" w:rsidRPr="006E13D1">
        <w:tab/>
      </w:r>
      <w:r w:rsidR="009339CB">
        <w:t>Conclusion</w:t>
      </w:r>
    </w:p>
    <w:p w14:paraId="3BE72BE2" w14:textId="4ACF2258" w:rsidR="009339CB" w:rsidRPr="004F4540" w:rsidRDefault="009339CB" w:rsidP="009339CB">
      <w:pPr>
        <w:rPr>
          <w:bCs/>
        </w:rPr>
      </w:pPr>
      <w:r>
        <w:t xml:space="preserve">This document has </w:t>
      </w:r>
      <w:r>
        <w:rPr>
          <w:bCs/>
        </w:rPr>
        <w:t>proposed the following:</w:t>
      </w:r>
    </w:p>
    <w:p w14:paraId="173738BF" w14:textId="77777777" w:rsidR="00EB1E81" w:rsidRDefault="00EB1E81" w:rsidP="00EB1E81">
      <w:r>
        <w:rPr>
          <w:b/>
        </w:rPr>
        <w:t>Proposal</w:t>
      </w:r>
      <w:r w:rsidRPr="00B84DB2">
        <w:rPr>
          <w:b/>
        </w:rPr>
        <w:t xml:space="preserve"> 1</w:t>
      </w:r>
      <w:r w:rsidRPr="007A2E55">
        <w:rPr>
          <w:bCs/>
        </w:rPr>
        <w:t>:</w:t>
      </w:r>
      <w:r>
        <w:t xml:space="preserve"> RAN2 shall restrict </w:t>
      </w:r>
      <w:r w:rsidRPr="00324D19">
        <w:t>the use case for any LPHAP discussions in RAN2 to</w:t>
      </w:r>
      <w:r>
        <w:t xml:space="preserve"> </w:t>
      </w:r>
      <w:r w:rsidRPr="00324D19">
        <w:t>Tracking of workpiece (in- and outdoor) in assembly area and warehouse</w:t>
      </w:r>
      <w:r>
        <w:t xml:space="preserve"> (Use case # 6 in Table A.7.2-1 in TS 22.104).</w:t>
      </w:r>
    </w:p>
    <w:p w14:paraId="66681FE8" w14:textId="439CF115" w:rsidR="00EB1E81" w:rsidRDefault="00EB1E81" w:rsidP="00EB1E81">
      <w:r>
        <w:rPr>
          <w:b/>
        </w:rPr>
        <w:t>Proposal</w:t>
      </w:r>
      <w:r w:rsidRPr="00B84DB2">
        <w:rPr>
          <w:b/>
        </w:rPr>
        <w:t xml:space="preserve"> </w:t>
      </w:r>
      <w:r>
        <w:rPr>
          <w:b/>
        </w:rPr>
        <w:t>2</w:t>
      </w:r>
      <w:r w:rsidRPr="007A2E55">
        <w:rPr>
          <w:bCs/>
        </w:rPr>
        <w:t>:</w:t>
      </w:r>
      <w:r>
        <w:t xml:space="preserve"> RAN2 to use the ‘</w:t>
      </w:r>
      <w:r w:rsidRPr="004E0166">
        <w:t>Low Power Periodic and Triggered 5GC-MT-LR Procedures</w:t>
      </w:r>
      <w:r>
        <w:t>’ in TS 23.273, which also includes the UE positioning procedures between UE and LMF (LPP procedures), in their study on LPHAP.</w:t>
      </w:r>
    </w:p>
    <w:p w14:paraId="11348359" w14:textId="77777777" w:rsidR="00EB1E81" w:rsidRDefault="00EB1E81" w:rsidP="00EB1E81">
      <w:r w:rsidRPr="00743F5E">
        <w:rPr>
          <w:b/>
          <w:bCs/>
        </w:rPr>
        <w:t xml:space="preserve">Proposal </w:t>
      </w:r>
      <w:r>
        <w:rPr>
          <w:b/>
          <w:bCs/>
        </w:rPr>
        <w:t>3</w:t>
      </w:r>
      <w:r>
        <w:t>: RAN2 shall not spend time on evaluating the performance of current Rel-16/Rel-17 NR positioning methods to see if they meet LPHAP positioning accuracy requirements.</w:t>
      </w:r>
    </w:p>
    <w:p w14:paraId="76D97862" w14:textId="550B7551" w:rsidR="00EB1E81" w:rsidRDefault="00EB1E81" w:rsidP="00EB1E81">
      <w:r w:rsidRPr="000871FC">
        <w:rPr>
          <w:b/>
          <w:bCs/>
        </w:rPr>
        <w:t>Proposal 4</w:t>
      </w:r>
      <w:r>
        <w:t>: RAN2 shall wait for RAN1 conclusions from evaluations on UE power consumption but already start investigating (study) potential areas for higher layer enhancements that may result in reduction of UE power consumption.</w:t>
      </w:r>
    </w:p>
    <w:p w14:paraId="4EB3A219" w14:textId="30101F6E" w:rsidR="00A013B5" w:rsidRDefault="00A013B5" w:rsidP="00A013B5">
      <w:pPr>
        <w:pStyle w:val="Heading1"/>
      </w:pPr>
      <w:r>
        <w:t>Reference</w:t>
      </w:r>
    </w:p>
    <w:p w14:paraId="6DF5ED20" w14:textId="609F6C00" w:rsidR="00A013B5" w:rsidRDefault="00A013B5" w:rsidP="009339CB">
      <w:pPr>
        <w:pStyle w:val="ListParagraph"/>
        <w:numPr>
          <w:ilvl w:val="0"/>
          <w:numId w:val="9"/>
        </w:numPr>
      </w:pPr>
      <w:bookmarkStart w:id="0" w:name="_Ref110785157"/>
      <w:r w:rsidRPr="00A013B5">
        <w:t>RP-221814</w:t>
      </w:r>
      <w:r>
        <w:t xml:space="preserve"> </w:t>
      </w:r>
      <w:r w:rsidRPr="002445C2">
        <w:rPr>
          <w:i/>
          <w:iCs/>
        </w:rPr>
        <w:t>Study on expanded and improved NR positioning</w:t>
      </w:r>
      <w:r>
        <w:t xml:space="preserve"> (</w:t>
      </w:r>
      <w:r w:rsidRPr="00A013B5">
        <w:t>FS_NR_pos_enh2</w:t>
      </w:r>
      <w:r>
        <w:t>)</w:t>
      </w:r>
      <w:bookmarkEnd w:id="0"/>
    </w:p>
    <w:p w14:paraId="5EFF1696" w14:textId="1D7D8D39" w:rsidR="002445C2" w:rsidRPr="00A209D6" w:rsidRDefault="002445C2" w:rsidP="009339CB">
      <w:pPr>
        <w:pStyle w:val="ListParagraph"/>
        <w:numPr>
          <w:ilvl w:val="0"/>
          <w:numId w:val="9"/>
        </w:numPr>
      </w:pPr>
      <w:bookmarkStart w:id="1" w:name="_Ref110785200"/>
      <w:r>
        <w:t xml:space="preserve">TS 22.104 v18.3.0 </w:t>
      </w:r>
      <w:r w:rsidRPr="002445C2">
        <w:rPr>
          <w:i/>
          <w:iCs/>
        </w:rPr>
        <w:t>Service requirements for cyber-physical control applications in vertical domains</w:t>
      </w:r>
      <w:r>
        <w:t>; Stage 1; Release 18</w:t>
      </w:r>
      <w:bookmarkEnd w:id="1"/>
    </w:p>
    <w:sectPr w:rsidR="002445C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D13B" w14:textId="77777777" w:rsidR="003E49B4" w:rsidRDefault="003E49B4">
      <w:r>
        <w:separator/>
      </w:r>
    </w:p>
  </w:endnote>
  <w:endnote w:type="continuationSeparator" w:id="0">
    <w:p w14:paraId="5A4F5F2C" w14:textId="77777777" w:rsidR="003E49B4" w:rsidRDefault="003E49B4">
      <w:r>
        <w:continuationSeparator/>
      </w:r>
    </w:p>
  </w:endnote>
  <w:endnote w:type="continuationNotice" w:id="1">
    <w:p w14:paraId="3793A786" w14:textId="77777777" w:rsidR="003E49B4" w:rsidRDefault="003E4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D5F3" w14:textId="77777777" w:rsidR="003E49B4" w:rsidRDefault="003E49B4">
      <w:r>
        <w:separator/>
      </w:r>
    </w:p>
  </w:footnote>
  <w:footnote w:type="continuationSeparator" w:id="0">
    <w:p w14:paraId="4233EA7E" w14:textId="77777777" w:rsidR="003E49B4" w:rsidRDefault="003E49B4">
      <w:r>
        <w:continuationSeparator/>
      </w:r>
    </w:p>
  </w:footnote>
  <w:footnote w:type="continuationNotice" w:id="1">
    <w:p w14:paraId="123F4733" w14:textId="77777777" w:rsidR="003E49B4" w:rsidRDefault="003E49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9B72689"/>
    <w:multiLevelType w:val="hybridMultilevel"/>
    <w:tmpl w:val="6878220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C8C01B4"/>
    <w:multiLevelType w:val="hybridMultilevel"/>
    <w:tmpl w:val="255CA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2F"/>
    <w:rsid w:val="00006C10"/>
    <w:rsid w:val="00016557"/>
    <w:rsid w:val="00023C40"/>
    <w:rsid w:val="00025DDB"/>
    <w:rsid w:val="00033397"/>
    <w:rsid w:val="00040095"/>
    <w:rsid w:val="00065268"/>
    <w:rsid w:val="00073C9C"/>
    <w:rsid w:val="00076412"/>
    <w:rsid w:val="00080512"/>
    <w:rsid w:val="0008214D"/>
    <w:rsid w:val="000871FC"/>
    <w:rsid w:val="00090468"/>
    <w:rsid w:val="00094568"/>
    <w:rsid w:val="000B7BCF"/>
    <w:rsid w:val="000C522B"/>
    <w:rsid w:val="000D58AB"/>
    <w:rsid w:val="000E6E99"/>
    <w:rsid w:val="00112F1A"/>
    <w:rsid w:val="00140BDD"/>
    <w:rsid w:val="00145075"/>
    <w:rsid w:val="001741A0"/>
    <w:rsid w:val="00175FA0"/>
    <w:rsid w:val="00184F5F"/>
    <w:rsid w:val="00194CD0"/>
    <w:rsid w:val="001B49C9"/>
    <w:rsid w:val="001C23F4"/>
    <w:rsid w:val="001C2CFD"/>
    <w:rsid w:val="001C4F79"/>
    <w:rsid w:val="001F168B"/>
    <w:rsid w:val="001F7831"/>
    <w:rsid w:val="00204045"/>
    <w:rsid w:val="0020712B"/>
    <w:rsid w:val="0022606D"/>
    <w:rsid w:val="00231728"/>
    <w:rsid w:val="002445C2"/>
    <w:rsid w:val="00244A05"/>
    <w:rsid w:val="00246B45"/>
    <w:rsid w:val="00250404"/>
    <w:rsid w:val="00256B74"/>
    <w:rsid w:val="002610D8"/>
    <w:rsid w:val="002747EC"/>
    <w:rsid w:val="002810DB"/>
    <w:rsid w:val="002855BF"/>
    <w:rsid w:val="002B2988"/>
    <w:rsid w:val="002F0D22"/>
    <w:rsid w:val="00311B17"/>
    <w:rsid w:val="003172DC"/>
    <w:rsid w:val="00324D19"/>
    <w:rsid w:val="00325AE3"/>
    <w:rsid w:val="00326069"/>
    <w:rsid w:val="0035462D"/>
    <w:rsid w:val="00360067"/>
    <w:rsid w:val="0036061B"/>
    <w:rsid w:val="0036459E"/>
    <w:rsid w:val="00364B41"/>
    <w:rsid w:val="00383096"/>
    <w:rsid w:val="0039346C"/>
    <w:rsid w:val="003A41EF"/>
    <w:rsid w:val="003B40AD"/>
    <w:rsid w:val="003C4E37"/>
    <w:rsid w:val="003E16BE"/>
    <w:rsid w:val="003E49B4"/>
    <w:rsid w:val="003F4E28"/>
    <w:rsid w:val="004006E8"/>
    <w:rsid w:val="00401855"/>
    <w:rsid w:val="00444B18"/>
    <w:rsid w:val="00446C3A"/>
    <w:rsid w:val="00465587"/>
    <w:rsid w:val="00477455"/>
    <w:rsid w:val="004A1F7B"/>
    <w:rsid w:val="004C44D2"/>
    <w:rsid w:val="004D3578"/>
    <w:rsid w:val="004D380D"/>
    <w:rsid w:val="004E0166"/>
    <w:rsid w:val="004E213A"/>
    <w:rsid w:val="004F3527"/>
    <w:rsid w:val="004F4540"/>
    <w:rsid w:val="004F73A7"/>
    <w:rsid w:val="00503171"/>
    <w:rsid w:val="00506C28"/>
    <w:rsid w:val="00534DA0"/>
    <w:rsid w:val="00543E6C"/>
    <w:rsid w:val="00565087"/>
    <w:rsid w:val="0056573F"/>
    <w:rsid w:val="00571279"/>
    <w:rsid w:val="005A13AB"/>
    <w:rsid w:val="005A49C6"/>
    <w:rsid w:val="005B0FED"/>
    <w:rsid w:val="005C766E"/>
    <w:rsid w:val="005C7CD5"/>
    <w:rsid w:val="00611566"/>
    <w:rsid w:val="0063320F"/>
    <w:rsid w:val="00646D99"/>
    <w:rsid w:val="00656910"/>
    <w:rsid w:val="006574C0"/>
    <w:rsid w:val="00671771"/>
    <w:rsid w:val="00696821"/>
    <w:rsid w:val="006C66D8"/>
    <w:rsid w:val="006D1E24"/>
    <w:rsid w:val="006D35DE"/>
    <w:rsid w:val="006E1057"/>
    <w:rsid w:val="006E1417"/>
    <w:rsid w:val="006E7910"/>
    <w:rsid w:val="006F6A2C"/>
    <w:rsid w:val="007069DC"/>
    <w:rsid w:val="00710201"/>
    <w:rsid w:val="0072073A"/>
    <w:rsid w:val="007342B5"/>
    <w:rsid w:val="00734603"/>
    <w:rsid w:val="00734A5B"/>
    <w:rsid w:val="00743F5E"/>
    <w:rsid w:val="00744E76"/>
    <w:rsid w:val="00757D40"/>
    <w:rsid w:val="007662B5"/>
    <w:rsid w:val="00781F0F"/>
    <w:rsid w:val="0078291E"/>
    <w:rsid w:val="0078727C"/>
    <w:rsid w:val="0079049D"/>
    <w:rsid w:val="00793DC5"/>
    <w:rsid w:val="00796823"/>
    <w:rsid w:val="007A2E55"/>
    <w:rsid w:val="007B18D8"/>
    <w:rsid w:val="007C095F"/>
    <w:rsid w:val="007C2DD0"/>
    <w:rsid w:val="007F2E08"/>
    <w:rsid w:val="008024FA"/>
    <w:rsid w:val="008028A4"/>
    <w:rsid w:val="00813245"/>
    <w:rsid w:val="0083137E"/>
    <w:rsid w:val="00840DE0"/>
    <w:rsid w:val="00847CD0"/>
    <w:rsid w:val="008607A8"/>
    <w:rsid w:val="0086354A"/>
    <w:rsid w:val="008768CA"/>
    <w:rsid w:val="00877EF9"/>
    <w:rsid w:val="00880559"/>
    <w:rsid w:val="00884B3C"/>
    <w:rsid w:val="008B5306"/>
    <w:rsid w:val="008C2E2A"/>
    <w:rsid w:val="008C3057"/>
    <w:rsid w:val="008D2E4D"/>
    <w:rsid w:val="008F396F"/>
    <w:rsid w:val="008F3DCD"/>
    <w:rsid w:val="008F730F"/>
    <w:rsid w:val="0090271F"/>
    <w:rsid w:val="00902DB9"/>
    <w:rsid w:val="0090466A"/>
    <w:rsid w:val="00915948"/>
    <w:rsid w:val="00923655"/>
    <w:rsid w:val="009339CB"/>
    <w:rsid w:val="00936071"/>
    <w:rsid w:val="009376CD"/>
    <w:rsid w:val="00940212"/>
    <w:rsid w:val="00942EC2"/>
    <w:rsid w:val="00955AE3"/>
    <w:rsid w:val="00961B32"/>
    <w:rsid w:val="00962509"/>
    <w:rsid w:val="00970DB3"/>
    <w:rsid w:val="00974BB0"/>
    <w:rsid w:val="00975BCD"/>
    <w:rsid w:val="009928A9"/>
    <w:rsid w:val="009A0AF3"/>
    <w:rsid w:val="009A4ECB"/>
    <w:rsid w:val="009B07CD"/>
    <w:rsid w:val="009B4296"/>
    <w:rsid w:val="009C19E9"/>
    <w:rsid w:val="009D74A6"/>
    <w:rsid w:val="009E0E87"/>
    <w:rsid w:val="009E4D22"/>
    <w:rsid w:val="00A013B5"/>
    <w:rsid w:val="00A10F02"/>
    <w:rsid w:val="00A204CA"/>
    <w:rsid w:val="00A209D6"/>
    <w:rsid w:val="00A22738"/>
    <w:rsid w:val="00A36F5F"/>
    <w:rsid w:val="00A430EC"/>
    <w:rsid w:val="00A53724"/>
    <w:rsid w:val="00A54B2B"/>
    <w:rsid w:val="00A55679"/>
    <w:rsid w:val="00A56044"/>
    <w:rsid w:val="00A703B6"/>
    <w:rsid w:val="00A70AB7"/>
    <w:rsid w:val="00A82346"/>
    <w:rsid w:val="00A93C3B"/>
    <w:rsid w:val="00A9671C"/>
    <w:rsid w:val="00AA1553"/>
    <w:rsid w:val="00AC3E59"/>
    <w:rsid w:val="00AF42BC"/>
    <w:rsid w:val="00B05380"/>
    <w:rsid w:val="00B05962"/>
    <w:rsid w:val="00B15449"/>
    <w:rsid w:val="00B16C2F"/>
    <w:rsid w:val="00B27303"/>
    <w:rsid w:val="00B47FD1"/>
    <w:rsid w:val="00B516BB"/>
    <w:rsid w:val="00B7538C"/>
    <w:rsid w:val="00B84DB2"/>
    <w:rsid w:val="00B92524"/>
    <w:rsid w:val="00BC3555"/>
    <w:rsid w:val="00C12B51"/>
    <w:rsid w:val="00C167FA"/>
    <w:rsid w:val="00C24650"/>
    <w:rsid w:val="00C24C2D"/>
    <w:rsid w:val="00C25465"/>
    <w:rsid w:val="00C33079"/>
    <w:rsid w:val="00C55A12"/>
    <w:rsid w:val="00C6553E"/>
    <w:rsid w:val="00C83A13"/>
    <w:rsid w:val="00C86F10"/>
    <w:rsid w:val="00C9068C"/>
    <w:rsid w:val="00C92967"/>
    <w:rsid w:val="00CA3D0C"/>
    <w:rsid w:val="00CA654B"/>
    <w:rsid w:val="00CB72B8"/>
    <w:rsid w:val="00CC212B"/>
    <w:rsid w:val="00CD0BA8"/>
    <w:rsid w:val="00CD4C7B"/>
    <w:rsid w:val="00CD58FE"/>
    <w:rsid w:val="00D3117A"/>
    <w:rsid w:val="00D33BE3"/>
    <w:rsid w:val="00D3792D"/>
    <w:rsid w:val="00D55E47"/>
    <w:rsid w:val="00D62E19"/>
    <w:rsid w:val="00D67CD1"/>
    <w:rsid w:val="00D738D6"/>
    <w:rsid w:val="00D80795"/>
    <w:rsid w:val="00D854BE"/>
    <w:rsid w:val="00D87E00"/>
    <w:rsid w:val="00D9134D"/>
    <w:rsid w:val="00D96D11"/>
    <w:rsid w:val="00DA1331"/>
    <w:rsid w:val="00DA69BB"/>
    <w:rsid w:val="00DA7A03"/>
    <w:rsid w:val="00DB0DB8"/>
    <w:rsid w:val="00DB1818"/>
    <w:rsid w:val="00DC309B"/>
    <w:rsid w:val="00DC4DA2"/>
    <w:rsid w:val="00DC5261"/>
    <w:rsid w:val="00DE25D2"/>
    <w:rsid w:val="00DF3497"/>
    <w:rsid w:val="00DF7C20"/>
    <w:rsid w:val="00E46C08"/>
    <w:rsid w:val="00E471CF"/>
    <w:rsid w:val="00E60647"/>
    <w:rsid w:val="00E62835"/>
    <w:rsid w:val="00E77645"/>
    <w:rsid w:val="00E83697"/>
    <w:rsid w:val="00E859B6"/>
    <w:rsid w:val="00EA66C9"/>
    <w:rsid w:val="00EB1E81"/>
    <w:rsid w:val="00EB5D32"/>
    <w:rsid w:val="00EC4A25"/>
    <w:rsid w:val="00EC677D"/>
    <w:rsid w:val="00EF47FB"/>
    <w:rsid w:val="00EF612C"/>
    <w:rsid w:val="00F01DD4"/>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C466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2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4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8433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149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5AIRPNAIUNRU-859666464-11948</_dlc_DocId>
    <_dlc_DocIdUrl xmlns="71c5aaf6-e6ce-465b-b873-5148d2a4c105">
      <Url>https://nokia.sharepoint.com/sites/c5g/e2earch/_layouts/15/DocIdRedir.aspx?ID=5AIRPNAIUNRU-859666464-11948</Url>
      <Description>5AIRPNAIUNRU-859666464-11948</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83f22d2f-d16e-4be6-ad4f-29fa0b067c3c"/>
    <ds:schemaRef ds:uri="a3840f4f-04be-43d1-b2ef-6ff1382503c7"/>
    <ds:schemaRef ds:uri="71c5aaf6-e6ce-465b-b873-5148d2a4c105"/>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Pages>
  <Words>1342</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8383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136</cp:revision>
  <dcterms:created xsi:type="dcterms:W3CDTF">2016-08-12T13:53:00Z</dcterms:created>
  <dcterms:modified xsi:type="dcterms:W3CDTF">2022-08-09T20:52:00Z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facf48ca-e69a-4787-876d-cd6bde93a291</vt:lpwstr>
  </property>
</Properties>
</file>